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EC157" w14:textId="06D14072" w:rsidR="00756B42" w:rsidRDefault="001269AF" w:rsidP="001269AF">
      <w:pPr>
        <w:rPr>
          <w:b/>
          <w:bCs/>
          <w:lang w:val="en-US"/>
        </w:rPr>
      </w:pPr>
      <w:r w:rsidRPr="001269AF">
        <w:rPr>
          <w:rFonts w:ascii="Trebuchet MS" w:hAnsi="Trebuchet MS"/>
          <w:b/>
          <w:bCs/>
          <w:lang w:val="en-US"/>
        </w:rPr>
        <w:t>Appendix</w:t>
      </w:r>
      <w:r>
        <w:rPr>
          <w:rFonts w:ascii="Trebuchet MS" w:hAnsi="Trebuchet MS"/>
          <w:b/>
          <w:bCs/>
          <w:lang w:val="en-US"/>
        </w:rPr>
        <w:t xml:space="preserve"> </w:t>
      </w:r>
      <w:r w:rsidRPr="001269AF">
        <w:rPr>
          <w:b/>
          <w:bCs/>
          <w:lang w:val="en-US"/>
        </w:rPr>
        <w:t>1</w:t>
      </w:r>
    </w:p>
    <w:p w14:paraId="24A20C30" w14:textId="43D40F14" w:rsidR="001923E3" w:rsidRDefault="001923E3" w:rsidP="001269AF">
      <w:pPr>
        <w:rPr>
          <w:b/>
          <w:bCs/>
          <w:lang w:val="en-US"/>
        </w:rPr>
      </w:pPr>
    </w:p>
    <w:p w14:paraId="4C5930F2" w14:textId="36B37E5A" w:rsidR="001923E3" w:rsidRPr="001923E3" w:rsidRDefault="001923E3" w:rsidP="001923E3">
      <w:pPr>
        <w:rPr>
          <w:b/>
          <w:bCs/>
        </w:rPr>
      </w:pPr>
      <w:r w:rsidRPr="001923E3">
        <w:rPr>
          <w:b/>
          <w:bCs/>
        </w:rPr>
        <w:t xml:space="preserve">Board approval – </w:t>
      </w:r>
      <w:r w:rsidR="00554851">
        <w:rPr>
          <w:b/>
          <w:bCs/>
        </w:rPr>
        <w:t>March</w:t>
      </w:r>
      <w:r w:rsidR="00554851" w:rsidRPr="001923E3">
        <w:rPr>
          <w:b/>
          <w:bCs/>
        </w:rPr>
        <w:t xml:space="preserve"> </w:t>
      </w:r>
      <w:r w:rsidRPr="001923E3">
        <w:rPr>
          <w:b/>
          <w:bCs/>
        </w:rPr>
        <w:t>2021</w:t>
      </w:r>
    </w:p>
    <w:p w14:paraId="14B789DC" w14:textId="04022F0C" w:rsidR="001923E3" w:rsidRPr="001923E3" w:rsidRDefault="001923E3" w:rsidP="001923E3">
      <w:pPr>
        <w:rPr>
          <w:b/>
          <w:bCs/>
        </w:rPr>
      </w:pPr>
      <w:r w:rsidRPr="001923E3">
        <w:rPr>
          <w:b/>
          <w:bCs/>
        </w:rPr>
        <w:t xml:space="preserve">Planned review date </w:t>
      </w:r>
      <w:r w:rsidR="00554851">
        <w:rPr>
          <w:b/>
          <w:bCs/>
        </w:rPr>
        <w:t>March</w:t>
      </w:r>
      <w:r w:rsidRPr="001923E3">
        <w:rPr>
          <w:b/>
          <w:bCs/>
        </w:rPr>
        <w:t xml:space="preserve">– </w:t>
      </w:r>
      <w:proofErr w:type="gramStart"/>
      <w:r w:rsidRPr="001923E3">
        <w:rPr>
          <w:b/>
          <w:bCs/>
        </w:rPr>
        <w:t>2023</w:t>
      </w:r>
      <w:proofErr w:type="gramEnd"/>
    </w:p>
    <w:p w14:paraId="60307D82" w14:textId="45F0DDE1" w:rsidR="001923E3" w:rsidRPr="001923E3" w:rsidRDefault="001923E3" w:rsidP="001923E3">
      <w:pPr>
        <w:rPr>
          <w:b/>
          <w:bCs/>
        </w:rPr>
      </w:pPr>
      <w:r w:rsidRPr="001923E3">
        <w:rPr>
          <w:b/>
          <w:bCs/>
        </w:rPr>
        <w:t>Policy number 0</w:t>
      </w:r>
      <w:r>
        <w:rPr>
          <w:b/>
          <w:bCs/>
        </w:rPr>
        <w:t>2</w:t>
      </w:r>
    </w:p>
    <w:p w14:paraId="3953510D" w14:textId="77777777" w:rsidR="001923E3" w:rsidRPr="001269AF" w:rsidRDefault="001923E3" w:rsidP="001269AF">
      <w:pPr>
        <w:rPr>
          <w:b/>
          <w:bCs/>
          <w:lang w:val="en-US"/>
        </w:rPr>
      </w:pPr>
    </w:p>
    <w:p w14:paraId="71A61E20" w14:textId="77777777" w:rsidR="001269AF" w:rsidRDefault="001269AF" w:rsidP="00080F15">
      <w:pPr>
        <w:jc w:val="center"/>
        <w:rPr>
          <w:rFonts w:ascii="Trebuchet MS" w:hAnsi="Trebuchet MS"/>
          <w:b/>
        </w:rPr>
      </w:pPr>
    </w:p>
    <w:p w14:paraId="76848B8C" w14:textId="4F79A90A" w:rsidR="00080F15" w:rsidRPr="00693C31" w:rsidRDefault="00E2077C" w:rsidP="00080F15">
      <w:pPr>
        <w:jc w:val="center"/>
        <w:rPr>
          <w:rFonts w:ascii="Trebuchet MS" w:hAnsi="Trebuchet MS"/>
          <w:b/>
        </w:rPr>
      </w:pPr>
      <w:r>
        <w:rPr>
          <w:rFonts w:ascii="Trebuchet MS" w:hAnsi="Trebuchet MS"/>
          <w:b/>
        </w:rPr>
        <w:t>Contractual Authority Limits</w:t>
      </w:r>
      <w:r w:rsidR="000D5F94">
        <w:rPr>
          <w:rFonts w:ascii="Trebuchet MS" w:hAnsi="Trebuchet MS"/>
          <w:b/>
        </w:rPr>
        <w:t xml:space="preserve"> </w:t>
      </w:r>
      <w:r w:rsidR="00080F15" w:rsidRPr="00693C31">
        <w:rPr>
          <w:rFonts w:ascii="Trebuchet MS" w:hAnsi="Trebuchet MS"/>
          <w:b/>
        </w:rPr>
        <w:t>Polic</w:t>
      </w:r>
      <w:r w:rsidR="000D5F94">
        <w:rPr>
          <w:rFonts w:ascii="Trebuchet MS" w:hAnsi="Trebuchet MS"/>
          <w:b/>
        </w:rPr>
        <w:t>y</w:t>
      </w:r>
      <w:r w:rsidR="004B341C">
        <w:rPr>
          <w:rFonts w:ascii="Trebuchet MS" w:hAnsi="Trebuchet MS"/>
          <w:b/>
        </w:rPr>
        <w:t xml:space="preserve"> (Draft)</w:t>
      </w:r>
    </w:p>
    <w:p w14:paraId="3805D954" w14:textId="77777777" w:rsidR="00080F15" w:rsidRPr="00693C31" w:rsidRDefault="00080F15" w:rsidP="00756B42">
      <w:pPr>
        <w:rPr>
          <w:rFonts w:ascii="Trebuchet MS" w:hAnsi="Trebuchet MS"/>
          <w:b/>
        </w:rPr>
      </w:pPr>
    </w:p>
    <w:p w14:paraId="1803223E" w14:textId="77777777" w:rsidR="001923E3" w:rsidRPr="00FC41B0" w:rsidRDefault="001923E3" w:rsidP="00FC41B0">
      <w:pPr>
        <w:pStyle w:val="ListParagraph"/>
        <w:numPr>
          <w:ilvl w:val="0"/>
          <w:numId w:val="8"/>
        </w:numPr>
        <w:rPr>
          <w:rFonts w:ascii="Trebuchet MS" w:hAnsi="Trebuchet MS"/>
        </w:rPr>
      </w:pPr>
      <w:r w:rsidRPr="00FC41B0">
        <w:rPr>
          <w:rFonts w:ascii="Trebuchet MS" w:hAnsi="Trebuchet MS"/>
          <w:b/>
        </w:rPr>
        <w:t>Preamble</w:t>
      </w:r>
      <w:r w:rsidRPr="00FC41B0">
        <w:rPr>
          <w:rFonts w:ascii="Trebuchet MS" w:hAnsi="Trebuchet MS"/>
          <w:b/>
        </w:rPr>
        <w:br/>
      </w:r>
    </w:p>
    <w:p w14:paraId="7B967742" w14:textId="566A28C5" w:rsidR="00FC41B0" w:rsidRPr="00FC41B0" w:rsidRDefault="001923E3" w:rsidP="00FC41B0">
      <w:pPr>
        <w:pStyle w:val="ListParagraph"/>
        <w:numPr>
          <w:ilvl w:val="1"/>
          <w:numId w:val="8"/>
        </w:numPr>
        <w:ind w:left="993" w:hanging="633"/>
        <w:rPr>
          <w:rFonts w:ascii="Trebuchet MS" w:hAnsi="Trebuchet MS"/>
          <w:b/>
          <w:lang w:val="en-US"/>
        </w:rPr>
      </w:pPr>
      <w:r w:rsidRPr="00FC41B0">
        <w:rPr>
          <w:rFonts w:ascii="Trebuchet MS" w:hAnsi="Trebuchet MS"/>
        </w:rPr>
        <w:t>The IWRF are funded through membership and individual participation fees. Additional revenue is also achieved through partnership and sponsorship funding. In line with good governance practice and transparency the IWRF wish to demonstrate to its stakeholders that all contractual arrangements are appropriately authorised and controlled.</w:t>
      </w:r>
      <w:r w:rsidR="00FC41B0" w:rsidRPr="00FC41B0">
        <w:rPr>
          <w:rFonts w:ascii="Trebuchet MS" w:hAnsi="Trebuchet MS"/>
        </w:rPr>
        <w:br/>
      </w:r>
    </w:p>
    <w:p w14:paraId="4B25DC13" w14:textId="06789933" w:rsidR="00FC41B0" w:rsidRPr="00FC41B0" w:rsidRDefault="00FC41B0" w:rsidP="00FC41B0">
      <w:pPr>
        <w:pStyle w:val="ListParagraph"/>
        <w:numPr>
          <w:ilvl w:val="0"/>
          <w:numId w:val="8"/>
        </w:numPr>
        <w:rPr>
          <w:rFonts w:ascii="Trebuchet MS" w:hAnsi="Trebuchet MS"/>
          <w:b/>
        </w:rPr>
      </w:pPr>
      <w:r w:rsidRPr="00FC41B0">
        <w:rPr>
          <w:rFonts w:ascii="Trebuchet MS" w:hAnsi="Trebuchet MS"/>
          <w:b/>
          <w:lang w:val="en-US"/>
        </w:rPr>
        <w:t>Authorisations</w:t>
      </w:r>
      <w:r w:rsidRPr="00FC41B0">
        <w:rPr>
          <w:rFonts w:ascii="Trebuchet MS" w:hAnsi="Trebuchet MS"/>
          <w:b/>
          <w:lang w:val="en-US"/>
        </w:rPr>
        <w:br/>
      </w:r>
    </w:p>
    <w:p w14:paraId="5CDB12E2" w14:textId="5B704DA1" w:rsidR="005E0860" w:rsidRPr="005E0860" w:rsidRDefault="00FC41B0" w:rsidP="00BC67D0">
      <w:pPr>
        <w:pStyle w:val="ListParagraph"/>
        <w:numPr>
          <w:ilvl w:val="1"/>
          <w:numId w:val="8"/>
        </w:numPr>
        <w:ind w:left="993" w:hanging="633"/>
        <w:rPr>
          <w:rFonts w:ascii="Trebuchet MS" w:hAnsi="Trebuchet MS"/>
          <w:b/>
          <w:lang w:val="en-US"/>
        </w:rPr>
      </w:pPr>
      <w:r w:rsidRPr="005E0860">
        <w:rPr>
          <w:rFonts w:ascii="Trebuchet MS" w:hAnsi="Trebuchet MS"/>
          <w:b/>
          <w:lang w:val="en-US"/>
        </w:rPr>
        <w:t xml:space="preserve">The IWRF Board </w:t>
      </w:r>
      <w:r w:rsidR="005E0860" w:rsidRPr="005E0860">
        <w:rPr>
          <w:rFonts w:ascii="Trebuchet MS" w:hAnsi="Trebuchet MS"/>
          <w:b/>
          <w:lang w:val="en-US"/>
        </w:rPr>
        <w:br/>
      </w:r>
    </w:p>
    <w:p w14:paraId="0BDD57A8" w14:textId="1556B851" w:rsidR="00FC41B0" w:rsidRPr="00FC41B0" w:rsidRDefault="005E0860" w:rsidP="005E0860">
      <w:pPr>
        <w:pStyle w:val="ListParagraph"/>
        <w:numPr>
          <w:ilvl w:val="1"/>
          <w:numId w:val="8"/>
        </w:numPr>
        <w:ind w:left="993" w:hanging="567"/>
        <w:rPr>
          <w:rFonts w:ascii="Trebuchet MS" w:hAnsi="Trebuchet MS"/>
          <w:b/>
          <w:lang w:val="en-US"/>
        </w:rPr>
      </w:pPr>
      <w:r>
        <w:rPr>
          <w:rFonts w:ascii="Trebuchet MS" w:hAnsi="Trebuchet MS"/>
          <w:lang w:val="en-US"/>
        </w:rPr>
        <w:t xml:space="preserve">The Board </w:t>
      </w:r>
      <w:r w:rsidR="00FC41B0" w:rsidRPr="00FC41B0">
        <w:rPr>
          <w:rFonts w:ascii="Trebuchet MS" w:hAnsi="Trebuchet MS"/>
          <w:lang w:val="en-US"/>
        </w:rPr>
        <w:t xml:space="preserve">is </w:t>
      </w:r>
      <w:r w:rsidR="00E0116B">
        <w:rPr>
          <w:rFonts w:ascii="Trebuchet MS" w:hAnsi="Trebuchet MS"/>
          <w:lang w:val="en-US"/>
        </w:rPr>
        <w:t xml:space="preserve">ultimately </w:t>
      </w:r>
      <w:r w:rsidR="00FC41B0" w:rsidRPr="00FC41B0">
        <w:rPr>
          <w:rFonts w:ascii="Trebuchet MS" w:hAnsi="Trebuchet MS"/>
          <w:lang w:val="en-US"/>
        </w:rPr>
        <w:t>accountable for ensuring the best value for money when agreeing contracts. As such, it has a responsibility to ensure that goods and services meet the objectives of the IWRF.</w:t>
      </w:r>
      <w:r w:rsidR="00FC41B0">
        <w:rPr>
          <w:rFonts w:ascii="Trebuchet MS" w:hAnsi="Trebuchet MS"/>
          <w:lang w:val="en-US"/>
        </w:rPr>
        <w:br/>
      </w:r>
    </w:p>
    <w:p w14:paraId="57F553AA" w14:textId="49307E5E" w:rsidR="00FC41B0" w:rsidRDefault="00E61E6B" w:rsidP="00BF0620">
      <w:pPr>
        <w:pStyle w:val="ListParagraph"/>
        <w:numPr>
          <w:ilvl w:val="1"/>
          <w:numId w:val="8"/>
        </w:numPr>
        <w:ind w:left="993" w:hanging="633"/>
        <w:rPr>
          <w:rFonts w:ascii="Trebuchet MS" w:hAnsi="Trebuchet MS"/>
          <w:b/>
          <w:lang w:val="en-US"/>
        </w:rPr>
      </w:pPr>
      <w:r>
        <w:rPr>
          <w:rFonts w:ascii="Trebuchet MS" w:hAnsi="Trebuchet MS"/>
          <w:b/>
          <w:lang w:val="en-US"/>
        </w:rPr>
        <w:t xml:space="preserve">Secretary General </w:t>
      </w:r>
    </w:p>
    <w:p w14:paraId="646CAFEB" w14:textId="77777777" w:rsidR="00E61E6B" w:rsidRDefault="00E61E6B" w:rsidP="00E61E6B">
      <w:pPr>
        <w:pStyle w:val="ListParagraph"/>
        <w:ind w:left="993"/>
        <w:rPr>
          <w:rFonts w:ascii="Trebuchet MS" w:hAnsi="Trebuchet MS"/>
          <w:b/>
          <w:lang w:val="en-US"/>
        </w:rPr>
      </w:pPr>
    </w:p>
    <w:p w14:paraId="04057862" w14:textId="1120B0ED" w:rsidR="00BF0620" w:rsidRDefault="00702831" w:rsidP="000C5A91">
      <w:pPr>
        <w:pStyle w:val="ListParagraph"/>
        <w:numPr>
          <w:ilvl w:val="1"/>
          <w:numId w:val="8"/>
        </w:numPr>
        <w:ind w:left="993" w:hanging="633"/>
        <w:rPr>
          <w:rFonts w:ascii="Trebuchet MS" w:hAnsi="Trebuchet MS"/>
          <w:lang w:val="en-US"/>
        </w:rPr>
      </w:pPr>
      <w:r w:rsidRPr="00BF0620">
        <w:rPr>
          <w:rFonts w:ascii="Trebuchet MS" w:hAnsi="Trebuchet MS"/>
          <w:lang w:val="en-US"/>
        </w:rPr>
        <w:t xml:space="preserve">Unless otherwise or specifically agreed by the Board, the </w:t>
      </w:r>
      <w:r w:rsidR="00E61E6B">
        <w:rPr>
          <w:rFonts w:ascii="Trebuchet MS" w:hAnsi="Trebuchet MS"/>
          <w:lang w:val="en-US"/>
        </w:rPr>
        <w:t>Secretary General</w:t>
      </w:r>
      <w:r w:rsidRPr="00BF0620">
        <w:rPr>
          <w:rFonts w:ascii="Trebuchet MS" w:hAnsi="Trebuchet MS"/>
          <w:lang w:val="en-US"/>
        </w:rPr>
        <w:t xml:space="preserve"> is authorised to </w:t>
      </w:r>
      <w:proofErr w:type="gramStart"/>
      <w:r w:rsidRPr="00BF0620">
        <w:rPr>
          <w:rFonts w:ascii="Trebuchet MS" w:hAnsi="Trebuchet MS"/>
          <w:lang w:val="en-US"/>
        </w:rPr>
        <w:t>enter into</w:t>
      </w:r>
      <w:proofErr w:type="gramEnd"/>
      <w:r w:rsidRPr="00BF0620">
        <w:rPr>
          <w:rFonts w:ascii="Trebuchet MS" w:hAnsi="Trebuchet MS"/>
          <w:lang w:val="en-US"/>
        </w:rPr>
        <w:t xml:space="preserve"> contracts with providers of goods and services subject to the following:</w:t>
      </w:r>
      <w:r w:rsidR="00BF0620">
        <w:rPr>
          <w:rFonts w:ascii="Trebuchet MS" w:hAnsi="Trebuchet MS"/>
          <w:lang w:val="en-US"/>
        </w:rPr>
        <w:br/>
      </w:r>
    </w:p>
    <w:p w14:paraId="0F3C151E" w14:textId="1689BB57" w:rsidR="00BF0620" w:rsidRDefault="00702831" w:rsidP="00BF0620">
      <w:pPr>
        <w:pStyle w:val="ListParagraph"/>
        <w:numPr>
          <w:ilvl w:val="2"/>
          <w:numId w:val="8"/>
        </w:numPr>
        <w:rPr>
          <w:rFonts w:ascii="Trebuchet MS" w:hAnsi="Trebuchet MS"/>
          <w:lang w:val="en-US"/>
        </w:rPr>
      </w:pPr>
      <w:r w:rsidRPr="00BF0620">
        <w:rPr>
          <w:rFonts w:ascii="Trebuchet MS" w:hAnsi="Trebuchet MS"/>
          <w:lang w:val="en-US"/>
        </w:rPr>
        <w:t xml:space="preserve">The </w:t>
      </w:r>
      <w:r w:rsidR="00E61E6B">
        <w:rPr>
          <w:rFonts w:ascii="Trebuchet MS" w:hAnsi="Trebuchet MS"/>
          <w:lang w:val="en-US"/>
        </w:rPr>
        <w:t>Secretary General</w:t>
      </w:r>
      <w:r w:rsidRPr="00BF0620">
        <w:rPr>
          <w:rFonts w:ascii="Trebuchet MS" w:hAnsi="Trebuchet MS"/>
          <w:lang w:val="en-US"/>
        </w:rPr>
        <w:t xml:space="preserve"> may not delegate such responsibility;</w:t>
      </w:r>
      <w:r w:rsidR="00BF0620">
        <w:rPr>
          <w:rFonts w:ascii="Trebuchet MS" w:hAnsi="Trebuchet MS"/>
          <w:lang w:val="en-US"/>
        </w:rPr>
        <w:br/>
      </w:r>
    </w:p>
    <w:p w14:paraId="5DCBE70A" w14:textId="448865E6" w:rsidR="00BF0620" w:rsidRDefault="00702831" w:rsidP="00BF0620">
      <w:pPr>
        <w:pStyle w:val="ListParagraph"/>
        <w:numPr>
          <w:ilvl w:val="2"/>
          <w:numId w:val="8"/>
        </w:numPr>
        <w:ind w:left="1418" w:hanging="698"/>
        <w:rPr>
          <w:rFonts w:ascii="Trebuchet MS" w:hAnsi="Trebuchet MS"/>
          <w:lang w:val="en-US"/>
        </w:rPr>
      </w:pPr>
      <w:r w:rsidRPr="00BF0620">
        <w:rPr>
          <w:rFonts w:ascii="Trebuchet MS" w:hAnsi="Trebuchet MS"/>
          <w:lang w:val="en-US"/>
        </w:rPr>
        <w:t xml:space="preserve">Contracts may only be entered into which are already budgeted for. </w:t>
      </w:r>
      <w:r w:rsidRPr="00E0116B">
        <w:rPr>
          <w:rFonts w:ascii="Trebuchet MS" w:hAnsi="Trebuchet MS"/>
          <w:i/>
          <w:lang w:val="en-US"/>
        </w:rPr>
        <w:t>See below, for appropriate authorisations relating to contracts not budgeted for</w:t>
      </w:r>
      <w:r w:rsidRPr="00BF0620">
        <w:rPr>
          <w:rFonts w:ascii="Trebuchet MS" w:hAnsi="Trebuchet MS"/>
          <w:lang w:val="en-US"/>
        </w:rPr>
        <w:t>;</w:t>
      </w:r>
      <w:r w:rsidR="00BF0620">
        <w:rPr>
          <w:rFonts w:ascii="Trebuchet MS" w:hAnsi="Trebuchet MS"/>
          <w:lang w:val="en-US"/>
        </w:rPr>
        <w:br/>
      </w:r>
    </w:p>
    <w:p w14:paraId="1D962486" w14:textId="203D8EAD" w:rsidR="009D69EC" w:rsidRDefault="00BF0620" w:rsidP="00BF0620">
      <w:pPr>
        <w:pStyle w:val="ListParagraph"/>
        <w:numPr>
          <w:ilvl w:val="2"/>
          <w:numId w:val="8"/>
        </w:numPr>
        <w:ind w:left="1418" w:hanging="698"/>
        <w:rPr>
          <w:rFonts w:ascii="Trebuchet MS" w:hAnsi="Trebuchet MS"/>
          <w:lang w:val="en-US"/>
        </w:rPr>
      </w:pPr>
      <w:r w:rsidRPr="00BF0620">
        <w:rPr>
          <w:rFonts w:ascii="Trebuchet MS" w:hAnsi="Trebuchet MS"/>
          <w:lang w:val="en-US"/>
        </w:rPr>
        <w:t>Contracts over $5</w:t>
      </w:r>
      <w:r w:rsidR="00E0116B">
        <w:rPr>
          <w:rFonts w:ascii="Trebuchet MS" w:hAnsi="Trebuchet MS"/>
          <w:lang w:val="en-US"/>
        </w:rPr>
        <w:t>000</w:t>
      </w:r>
      <w:r w:rsidRPr="00BF0620">
        <w:rPr>
          <w:rFonts w:ascii="Trebuchet MS" w:hAnsi="Trebuchet MS"/>
          <w:lang w:val="en-US"/>
        </w:rPr>
        <w:t xml:space="preserve"> should be subject to competitive quotes unless they relate to arrangements already agreed </w:t>
      </w:r>
      <w:proofErr w:type="gramStart"/>
      <w:r w:rsidRPr="00BF0620">
        <w:rPr>
          <w:rFonts w:ascii="Trebuchet MS" w:hAnsi="Trebuchet MS"/>
          <w:lang w:val="en-US"/>
        </w:rPr>
        <w:t>i.e.</w:t>
      </w:r>
      <w:proofErr w:type="gramEnd"/>
      <w:r w:rsidRPr="00BF0620">
        <w:rPr>
          <w:rFonts w:ascii="Trebuchet MS" w:hAnsi="Trebuchet MS"/>
          <w:lang w:val="en-US"/>
        </w:rPr>
        <w:t xml:space="preserve"> provision of flights through agencies;</w:t>
      </w:r>
      <w:r w:rsidR="005E0860">
        <w:rPr>
          <w:rFonts w:ascii="Trebuchet MS" w:hAnsi="Trebuchet MS"/>
          <w:lang w:val="en-US"/>
        </w:rPr>
        <w:t xml:space="preserve"> </w:t>
      </w:r>
      <w:r w:rsidR="00475B6D">
        <w:rPr>
          <w:rFonts w:ascii="Trebuchet MS" w:hAnsi="Trebuchet MS"/>
          <w:lang w:val="en-US"/>
        </w:rPr>
        <w:t>a</w:t>
      </w:r>
      <w:r w:rsidR="005E0860">
        <w:rPr>
          <w:rFonts w:ascii="Trebuchet MS" w:hAnsi="Trebuchet MS"/>
          <w:lang w:val="en-US"/>
        </w:rPr>
        <w:t>nti-</w:t>
      </w:r>
      <w:r w:rsidR="00475B6D">
        <w:rPr>
          <w:rFonts w:ascii="Trebuchet MS" w:hAnsi="Trebuchet MS"/>
          <w:lang w:val="en-US"/>
        </w:rPr>
        <w:t>d</w:t>
      </w:r>
      <w:r w:rsidR="005E0860">
        <w:rPr>
          <w:rFonts w:ascii="Trebuchet MS" w:hAnsi="Trebuchet MS"/>
          <w:lang w:val="en-US"/>
        </w:rPr>
        <w:t xml:space="preserve">oping </w:t>
      </w:r>
      <w:r w:rsidR="00475B6D">
        <w:rPr>
          <w:rFonts w:ascii="Trebuchet MS" w:hAnsi="Trebuchet MS"/>
          <w:lang w:val="en-US"/>
        </w:rPr>
        <w:t>processes</w:t>
      </w:r>
      <w:r w:rsidR="009D69EC">
        <w:rPr>
          <w:rFonts w:ascii="Trebuchet MS" w:hAnsi="Trebuchet MS"/>
          <w:lang w:val="en-US"/>
        </w:rPr>
        <w:t>.</w:t>
      </w:r>
    </w:p>
    <w:p w14:paraId="749745D5" w14:textId="77777777" w:rsidR="009D69EC" w:rsidRDefault="009D69EC" w:rsidP="009D69EC">
      <w:pPr>
        <w:pStyle w:val="ListParagraph"/>
        <w:ind w:left="1418"/>
        <w:rPr>
          <w:rFonts w:ascii="Trebuchet MS" w:hAnsi="Trebuchet MS"/>
          <w:lang w:val="en-US"/>
        </w:rPr>
      </w:pPr>
    </w:p>
    <w:p w14:paraId="5168EA77" w14:textId="14B2DD11" w:rsidR="00BF0620" w:rsidRDefault="009D69EC" w:rsidP="00BF0620">
      <w:pPr>
        <w:pStyle w:val="ListParagraph"/>
        <w:numPr>
          <w:ilvl w:val="2"/>
          <w:numId w:val="8"/>
        </w:numPr>
        <w:ind w:left="1418" w:hanging="698"/>
        <w:rPr>
          <w:rFonts w:ascii="Trebuchet MS" w:hAnsi="Trebuchet MS"/>
          <w:lang w:val="en-US"/>
        </w:rPr>
      </w:pPr>
      <w:r>
        <w:rPr>
          <w:rFonts w:ascii="Trebuchet MS" w:hAnsi="Trebuchet MS"/>
          <w:lang w:val="en-US"/>
        </w:rPr>
        <w:t xml:space="preserve">Where there is a repeat contract or a new contract that takes a spend with the same supplier over $5000 then the next level of authorisation must be applied. </w:t>
      </w:r>
      <w:r w:rsidR="00BF0620">
        <w:rPr>
          <w:rFonts w:ascii="Trebuchet MS" w:hAnsi="Trebuchet MS"/>
          <w:lang w:val="en-US"/>
        </w:rPr>
        <w:br/>
      </w:r>
    </w:p>
    <w:p w14:paraId="517E2DA4" w14:textId="67AF84B1" w:rsidR="00BF0620" w:rsidRDefault="00BF0620" w:rsidP="00BF0620">
      <w:pPr>
        <w:pStyle w:val="ListParagraph"/>
        <w:numPr>
          <w:ilvl w:val="2"/>
          <w:numId w:val="8"/>
        </w:numPr>
        <w:ind w:left="1418" w:hanging="698"/>
        <w:rPr>
          <w:rFonts w:ascii="Trebuchet MS" w:hAnsi="Trebuchet MS"/>
          <w:lang w:val="en-US"/>
        </w:rPr>
      </w:pPr>
      <w:r w:rsidRPr="00BF0620">
        <w:rPr>
          <w:rFonts w:ascii="Trebuchet MS" w:hAnsi="Trebuchet MS"/>
          <w:lang w:val="en-US"/>
        </w:rPr>
        <w:t xml:space="preserve">Contracts with a value between $5001 - $15,000 are to be additionally approved by the President </w:t>
      </w:r>
      <w:r w:rsidR="00DD6E21">
        <w:rPr>
          <w:rFonts w:ascii="Trebuchet MS" w:hAnsi="Trebuchet MS"/>
          <w:lang w:val="en-US"/>
        </w:rPr>
        <w:t>and the</w:t>
      </w:r>
      <w:r w:rsidRPr="00BF0620">
        <w:rPr>
          <w:rFonts w:ascii="Trebuchet MS" w:hAnsi="Trebuchet MS"/>
          <w:lang w:val="en-US"/>
        </w:rPr>
        <w:t xml:space="preserve"> Director responsible for finance</w:t>
      </w:r>
      <w:r w:rsidR="00DD6E21">
        <w:rPr>
          <w:rFonts w:ascii="Trebuchet MS" w:hAnsi="Trebuchet MS"/>
          <w:lang w:val="en-US"/>
        </w:rPr>
        <w:t xml:space="preserve"> (or other Director in the absence of the President and or </w:t>
      </w:r>
      <w:r w:rsidR="00DD6E21">
        <w:rPr>
          <w:rFonts w:ascii="Trebuchet MS" w:hAnsi="Trebuchet MS"/>
          <w:lang w:val="en-US"/>
        </w:rPr>
        <w:lastRenderedPageBreak/>
        <w:t>the Director responsible for finance</w:t>
      </w:r>
      <w:r w:rsidR="006E6E86">
        <w:rPr>
          <w:rFonts w:ascii="Trebuchet MS" w:hAnsi="Trebuchet MS"/>
          <w:lang w:val="en-US"/>
        </w:rPr>
        <w:t>)</w:t>
      </w:r>
      <w:r w:rsidRPr="00BF0620">
        <w:rPr>
          <w:rFonts w:ascii="Trebuchet MS" w:hAnsi="Trebuchet MS"/>
          <w:lang w:val="en-US"/>
        </w:rPr>
        <w:t>;</w:t>
      </w:r>
      <w:r>
        <w:rPr>
          <w:rFonts w:ascii="Trebuchet MS" w:hAnsi="Trebuchet MS"/>
          <w:lang w:val="en-US"/>
        </w:rPr>
        <w:br/>
      </w:r>
    </w:p>
    <w:p w14:paraId="53C49C58" w14:textId="53826094" w:rsidR="005E0860" w:rsidRDefault="00BF0620" w:rsidP="00BF0620">
      <w:pPr>
        <w:pStyle w:val="ListParagraph"/>
        <w:numPr>
          <w:ilvl w:val="2"/>
          <w:numId w:val="8"/>
        </w:numPr>
        <w:ind w:left="1418" w:hanging="698"/>
        <w:rPr>
          <w:rFonts w:ascii="Trebuchet MS" w:hAnsi="Trebuchet MS"/>
          <w:lang w:val="en-US"/>
        </w:rPr>
      </w:pPr>
      <w:r w:rsidRPr="00BF0620">
        <w:rPr>
          <w:rFonts w:ascii="Trebuchet MS" w:hAnsi="Trebuchet MS"/>
          <w:lang w:val="en-US"/>
        </w:rPr>
        <w:t xml:space="preserve">Contracts over $15,001 is to be approved by 2 Board Directors </w:t>
      </w:r>
      <w:r w:rsidR="00DD6E21">
        <w:rPr>
          <w:rFonts w:ascii="Trebuchet MS" w:hAnsi="Trebuchet MS"/>
          <w:lang w:val="en-US"/>
        </w:rPr>
        <w:t>one of whom must be the President (or the Vice President in the absence of the president) and</w:t>
      </w:r>
      <w:r w:rsidRPr="00BF0620">
        <w:rPr>
          <w:rFonts w:ascii="Trebuchet MS" w:hAnsi="Trebuchet MS"/>
          <w:lang w:val="en-US"/>
        </w:rPr>
        <w:t xml:space="preserve"> the Board Director responsible for finance</w:t>
      </w:r>
      <w:r w:rsidR="00DD6E21">
        <w:rPr>
          <w:rFonts w:ascii="Trebuchet MS" w:hAnsi="Trebuchet MS"/>
          <w:lang w:val="en-US"/>
        </w:rPr>
        <w:t xml:space="preserve"> (or another Director in the absence of the Board Director responsible for Finance</w:t>
      </w:r>
      <w:r w:rsidR="001C635C">
        <w:rPr>
          <w:rFonts w:ascii="Trebuchet MS" w:hAnsi="Trebuchet MS"/>
          <w:lang w:val="en-US"/>
        </w:rPr>
        <w:t>)</w:t>
      </w:r>
      <w:r w:rsidRPr="00BF0620">
        <w:rPr>
          <w:rFonts w:ascii="Trebuchet MS" w:hAnsi="Trebuchet MS"/>
          <w:lang w:val="en-US"/>
        </w:rPr>
        <w:t xml:space="preserve">. The </w:t>
      </w:r>
      <w:r w:rsidR="00E61E6B">
        <w:rPr>
          <w:rFonts w:ascii="Trebuchet MS" w:hAnsi="Trebuchet MS"/>
          <w:lang w:val="en-US"/>
        </w:rPr>
        <w:t>Secretary General</w:t>
      </w:r>
      <w:r w:rsidRPr="00BF0620">
        <w:rPr>
          <w:rFonts w:ascii="Trebuchet MS" w:hAnsi="Trebuchet MS"/>
          <w:lang w:val="en-US"/>
        </w:rPr>
        <w:t xml:space="preserve"> is to present a short paper which details the process by which the proposed supplier has been selected and the reason for the contract.</w:t>
      </w:r>
      <w:r w:rsidR="005E0860">
        <w:rPr>
          <w:rFonts w:ascii="Trebuchet MS" w:hAnsi="Trebuchet MS"/>
          <w:lang w:val="en-US"/>
        </w:rPr>
        <w:br/>
      </w:r>
    </w:p>
    <w:p w14:paraId="1D2BFC35" w14:textId="52B0CED4" w:rsidR="005E0860" w:rsidRPr="005E0860" w:rsidRDefault="005E0860" w:rsidP="005E0860">
      <w:pPr>
        <w:pStyle w:val="ListParagraph"/>
        <w:numPr>
          <w:ilvl w:val="1"/>
          <w:numId w:val="8"/>
        </w:numPr>
        <w:ind w:left="993" w:hanging="633"/>
        <w:rPr>
          <w:rFonts w:ascii="Trebuchet MS" w:hAnsi="Trebuchet MS"/>
          <w:lang w:val="en-US"/>
        </w:rPr>
      </w:pPr>
      <w:r w:rsidRPr="005E0860">
        <w:rPr>
          <w:rFonts w:ascii="Trebuchet MS" w:hAnsi="Trebuchet MS"/>
          <w:lang w:val="en-US"/>
        </w:rPr>
        <w:t xml:space="preserve">In instances where the </w:t>
      </w:r>
      <w:r w:rsidR="00E61E6B">
        <w:rPr>
          <w:rFonts w:ascii="Trebuchet MS" w:hAnsi="Trebuchet MS"/>
          <w:lang w:val="en-US"/>
        </w:rPr>
        <w:t>Secretary General</w:t>
      </w:r>
      <w:r w:rsidRPr="005E0860">
        <w:rPr>
          <w:rFonts w:ascii="Trebuchet MS" w:hAnsi="Trebuchet MS"/>
          <w:lang w:val="en-US"/>
        </w:rPr>
        <w:t xml:space="preserve"> is not available, authority will be delegated to the Director responsible for finance.</w:t>
      </w:r>
      <w:r>
        <w:rPr>
          <w:rFonts w:ascii="Trebuchet MS" w:hAnsi="Trebuchet MS"/>
          <w:lang w:val="en-US"/>
        </w:rPr>
        <w:br/>
      </w:r>
    </w:p>
    <w:p w14:paraId="6B103401" w14:textId="41DB5A6D" w:rsidR="005E0860" w:rsidRPr="005E0860" w:rsidRDefault="005E0860" w:rsidP="005E0860">
      <w:pPr>
        <w:pStyle w:val="ListParagraph"/>
        <w:numPr>
          <w:ilvl w:val="1"/>
          <w:numId w:val="8"/>
        </w:numPr>
        <w:ind w:left="993" w:hanging="633"/>
        <w:rPr>
          <w:rFonts w:ascii="Trebuchet MS" w:hAnsi="Trebuchet MS"/>
          <w:lang w:val="en-US"/>
        </w:rPr>
      </w:pPr>
      <w:r w:rsidRPr="005E0860">
        <w:rPr>
          <w:rFonts w:ascii="Trebuchet MS" w:hAnsi="Trebuchet MS"/>
          <w:lang w:val="en-US"/>
        </w:rPr>
        <w:t xml:space="preserve">In instances where the </w:t>
      </w:r>
      <w:r w:rsidR="00E0116B">
        <w:rPr>
          <w:rFonts w:ascii="Trebuchet MS" w:hAnsi="Trebuchet MS"/>
          <w:lang w:val="en-US"/>
        </w:rPr>
        <w:t xml:space="preserve">President or </w:t>
      </w:r>
      <w:r w:rsidRPr="005E0860">
        <w:rPr>
          <w:rFonts w:ascii="Trebuchet MS" w:hAnsi="Trebuchet MS"/>
          <w:lang w:val="en-US"/>
        </w:rPr>
        <w:t xml:space="preserve">Director responsible for finance is not available or is authorising on behalf of the </w:t>
      </w:r>
      <w:r w:rsidR="00E61E6B">
        <w:rPr>
          <w:rFonts w:ascii="Trebuchet MS" w:hAnsi="Trebuchet MS"/>
          <w:lang w:val="en-US"/>
        </w:rPr>
        <w:t>Secretary General</w:t>
      </w:r>
      <w:r w:rsidRPr="005E0860">
        <w:rPr>
          <w:rFonts w:ascii="Trebuchet MS" w:hAnsi="Trebuchet MS"/>
          <w:lang w:val="en-US"/>
        </w:rPr>
        <w:t>, then another appropriate Director should authorise transactions in accordance with the principles of this policy.</w:t>
      </w:r>
    </w:p>
    <w:p w14:paraId="795066EE" w14:textId="6231C541" w:rsidR="00BF0620" w:rsidRPr="005E0860" w:rsidRDefault="00BF0620" w:rsidP="005E0860">
      <w:pPr>
        <w:rPr>
          <w:rFonts w:ascii="Trebuchet MS" w:hAnsi="Trebuchet MS"/>
          <w:lang w:val="en-US"/>
        </w:rPr>
      </w:pPr>
    </w:p>
    <w:p w14:paraId="78383EB4" w14:textId="1A7E4601" w:rsidR="00FC41B0" w:rsidRPr="00BF0620" w:rsidRDefault="00BF0620" w:rsidP="00BF0620">
      <w:pPr>
        <w:pStyle w:val="ListParagraph"/>
        <w:numPr>
          <w:ilvl w:val="0"/>
          <w:numId w:val="9"/>
        </w:numPr>
        <w:rPr>
          <w:rFonts w:ascii="Trebuchet MS" w:hAnsi="Trebuchet MS"/>
          <w:lang w:val="en-US"/>
        </w:rPr>
      </w:pPr>
      <w:r w:rsidRPr="00BF0620">
        <w:rPr>
          <w:rFonts w:ascii="Trebuchet MS" w:hAnsi="Trebuchet MS"/>
          <w:b/>
          <w:bCs/>
        </w:rPr>
        <w:t>Contractual commitment for an activity not within the current budget</w:t>
      </w:r>
      <w:r w:rsidRPr="00BF0620">
        <w:rPr>
          <w:rFonts w:ascii="Trebuchet MS" w:hAnsi="Trebuchet MS"/>
          <w:b/>
          <w:bCs/>
        </w:rPr>
        <w:br/>
      </w:r>
    </w:p>
    <w:p w14:paraId="789DB8FF" w14:textId="3FE347DB" w:rsidR="005E0860" w:rsidRPr="005E0860" w:rsidRDefault="005E0860" w:rsidP="005E0860">
      <w:pPr>
        <w:pStyle w:val="ListParagraph"/>
        <w:numPr>
          <w:ilvl w:val="1"/>
          <w:numId w:val="9"/>
        </w:numPr>
        <w:ind w:left="993" w:hanging="633"/>
        <w:rPr>
          <w:rFonts w:ascii="Trebuchet MS" w:hAnsi="Trebuchet MS"/>
          <w:b/>
        </w:rPr>
      </w:pPr>
      <w:r w:rsidRPr="005E0860">
        <w:rPr>
          <w:rFonts w:ascii="Trebuchet MS" w:hAnsi="Trebuchet MS"/>
          <w:lang w:val="en-US"/>
        </w:rPr>
        <w:t xml:space="preserve">Must be submitted to the Audit and Risk Management Committee </w:t>
      </w:r>
      <w:r w:rsidR="00E0116B">
        <w:rPr>
          <w:rFonts w:ascii="Trebuchet MS" w:hAnsi="Trebuchet MS"/>
          <w:lang w:val="en-US"/>
        </w:rPr>
        <w:t xml:space="preserve">(ARMC) </w:t>
      </w:r>
      <w:r w:rsidRPr="005E0860">
        <w:rPr>
          <w:rFonts w:ascii="Trebuchet MS" w:hAnsi="Trebuchet MS"/>
          <w:lang w:val="en-US"/>
        </w:rPr>
        <w:t xml:space="preserve">for scrutiny. The </w:t>
      </w:r>
      <w:r w:rsidR="00E0116B">
        <w:rPr>
          <w:rFonts w:ascii="Trebuchet MS" w:hAnsi="Trebuchet MS"/>
          <w:lang w:val="en-US"/>
        </w:rPr>
        <w:t>A</w:t>
      </w:r>
      <w:r w:rsidRPr="005E0860">
        <w:rPr>
          <w:rFonts w:ascii="Trebuchet MS" w:hAnsi="Trebuchet MS"/>
          <w:lang w:val="en-US"/>
        </w:rPr>
        <w:t>RMC may authorise the contract under any already agreed delegated authority or where appropriate</w:t>
      </w:r>
      <w:r w:rsidR="00E0116B">
        <w:rPr>
          <w:rFonts w:ascii="Trebuchet MS" w:hAnsi="Trebuchet MS"/>
          <w:lang w:val="en-US"/>
        </w:rPr>
        <w:t>,</w:t>
      </w:r>
      <w:r w:rsidRPr="005E0860">
        <w:rPr>
          <w:rFonts w:ascii="Trebuchet MS" w:hAnsi="Trebuchet MS"/>
          <w:lang w:val="en-US"/>
        </w:rPr>
        <w:t xml:space="preserve"> make recommendations to the Board for full approval.</w:t>
      </w:r>
      <w:r>
        <w:rPr>
          <w:rFonts w:ascii="Trebuchet MS" w:hAnsi="Trebuchet MS"/>
          <w:lang w:val="en-US"/>
        </w:rPr>
        <w:br/>
      </w:r>
    </w:p>
    <w:p w14:paraId="7EE0450C" w14:textId="368024F9" w:rsidR="005E0860" w:rsidRPr="005E0860" w:rsidRDefault="00B05B58" w:rsidP="00B048B1">
      <w:pPr>
        <w:pStyle w:val="ListParagraph"/>
        <w:numPr>
          <w:ilvl w:val="0"/>
          <w:numId w:val="9"/>
        </w:numPr>
        <w:rPr>
          <w:rFonts w:ascii="Trebuchet MS" w:hAnsi="Trebuchet MS"/>
          <w:bCs/>
        </w:rPr>
      </w:pPr>
      <w:r w:rsidRPr="005E0860">
        <w:rPr>
          <w:rFonts w:ascii="Trebuchet MS" w:hAnsi="Trebuchet MS"/>
          <w:b/>
        </w:rPr>
        <w:t xml:space="preserve">All other </w:t>
      </w:r>
      <w:r w:rsidR="001269AF" w:rsidRPr="005E0860">
        <w:rPr>
          <w:rFonts w:ascii="Trebuchet MS" w:hAnsi="Trebuchet MS"/>
          <w:b/>
        </w:rPr>
        <w:t>C</w:t>
      </w:r>
      <w:r w:rsidRPr="005E0860">
        <w:rPr>
          <w:rFonts w:ascii="Trebuchet MS" w:hAnsi="Trebuchet MS"/>
          <w:b/>
        </w:rPr>
        <w:t>ontracts</w:t>
      </w:r>
      <w:r w:rsidR="00E0116B">
        <w:rPr>
          <w:rFonts w:ascii="Trebuchet MS" w:hAnsi="Trebuchet MS"/>
          <w:b/>
        </w:rPr>
        <w:t>,</w:t>
      </w:r>
      <w:r w:rsidRPr="005E0860">
        <w:rPr>
          <w:rFonts w:ascii="Trebuchet MS" w:hAnsi="Trebuchet MS"/>
          <w:b/>
        </w:rPr>
        <w:t xml:space="preserve"> Memorandums </w:t>
      </w:r>
      <w:r w:rsidR="001269AF" w:rsidRPr="005E0860">
        <w:rPr>
          <w:rFonts w:ascii="Trebuchet MS" w:hAnsi="Trebuchet MS"/>
          <w:b/>
        </w:rPr>
        <w:t>of Understanding (MOU)</w:t>
      </w:r>
      <w:r w:rsidR="00E0116B">
        <w:rPr>
          <w:rFonts w:ascii="Trebuchet MS" w:hAnsi="Trebuchet MS"/>
          <w:b/>
        </w:rPr>
        <w:t xml:space="preserve"> etc</w:t>
      </w:r>
      <w:r w:rsidR="005E0860">
        <w:rPr>
          <w:rFonts w:ascii="Trebuchet MS" w:hAnsi="Trebuchet MS"/>
          <w:b/>
        </w:rPr>
        <w:br/>
      </w:r>
    </w:p>
    <w:p w14:paraId="2EAD50B6" w14:textId="77777777" w:rsidR="005E0860" w:rsidRDefault="001269AF" w:rsidP="005E0860">
      <w:pPr>
        <w:pStyle w:val="ListParagraph"/>
        <w:numPr>
          <w:ilvl w:val="1"/>
          <w:numId w:val="9"/>
        </w:numPr>
        <w:ind w:left="993" w:hanging="633"/>
        <w:rPr>
          <w:rFonts w:ascii="Trebuchet MS" w:hAnsi="Trebuchet MS"/>
          <w:bCs/>
        </w:rPr>
      </w:pPr>
      <w:r w:rsidRPr="005E0860">
        <w:rPr>
          <w:rFonts w:ascii="Trebuchet MS" w:hAnsi="Trebuchet MS"/>
          <w:bCs/>
        </w:rPr>
        <w:t xml:space="preserve">These may include sponsorship agreements, MOUs with educational establishments, partners supplying services etc. </w:t>
      </w:r>
      <w:r w:rsidR="005E0860">
        <w:rPr>
          <w:rFonts w:ascii="Trebuchet MS" w:hAnsi="Trebuchet MS"/>
          <w:bCs/>
        </w:rPr>
        <w:br/>
      </w:r>
    </w:p>
    <w:p w14:paraId="23C40295" w14:textId="63E5028F" w:rsidR="001269AF" w:rsidRPr="005E0860" w:rsidRDefault="001269AF" w:rsidP="005E0860">
      <w:pPr>
        <w:pStyle w:val="ListParagraph"/>
        <w:numPr>
          <w:ilvl w:val="1"/>
          <w:numId w:val="9"/>
        </w:numPr>
        <w:ind w:left="993" w:hanging="633"/>
        <w:rPr>
          <w:rFonts w:ascii="Trebuchet MS" w:hAnsi="Trebuchet MS"/>
          <w:bCs/>
        </w:rPr>
      </w:pPr>
      <w:r w:rsidRPr="005E0860">
        <w:rPr>
          <w:rFonts w:ascii="Trebuchet MS" w:hAnsi="Trebuchet MS"/>
          <w:bCs/>
        </w:rPr>
        <w:t xml:space="preserve">All contracts must be submitted to the </w:t>
      </w:r>
      <w:r w:rsidR="00E0116B">
        <w:rPr>
          <w:rFonts w:ascii="Trebuchet MS" w:hAnsi="Trebuchet MS"/>
          <w:bCs/>
        </w:rPr>
        <w:t>A</w:t>
      </w:r>
      <w:r w:rsidRPr="005E0860">
        <w:rPr>
          <w:rFonts w:ascii="Trebuchet MS" w:hAnsi="Trebuchet MS"/>
          <w:bCs/>
        </w:rPr>
        <w:t>RMC to assess the risk</w:t>
      </w:r>
      <w:r w:rsidR="00943621">
        <w:rPr>
          <w:rFonts w:ascii="Trebuchet MS" w:hAnsi="Trebuchet MS"/>
          <w:bCs/>
        </w:rPr>
        <w:t xml:space="preserve">. </w:t>
      </w:r>
      <w:r w:rsidR="00DD6E21">
        <w:rPr>
          <w:rFonts w:ascii="Trebuchet MS" w:hAnsi="Trebuchet MS"/>
          <w:bCs/>
        </w:rPr>
        <w:t xml:space="preserve"> The AMRC will co-opt Directors with the specific skills associated with the contract. </w:t>
      </w:r>
      <w:r w:rsidR="00943621" w:rsidRPr="00943621">
        <w:rPr>
          <w:rFonts w:ascii="Trebuchet MS" w:hAnsi="Trebuchet MS"/>
          <w:bCs/>
          <w:lang w:val="en-US"/>
        </w:rPr>
        <w:t xml:space="preserve">The </w:t>
      </w:r>
      <w:r w:rsidR="00E0116B">
        <w:rPr>
          <w:rFonts w:ascii="Trebuchet MS" w:hAnsi="Trebuchet MS"/>
          <w:bCs/>
          <w:lang w:val="en-US"/>
        </w:rPr>
        <w:t>A</w:t>
      </w:r>
      <w:r w:rsidR="00943621" w:rsidRPr="00943621">
        <w:rPr>
          <w:rFonts w:ascii="Trebuchet MS" w:hAnsi="Trebuchet MS"/>
          <w:bCs/>
          <w:lang w:val="en-US"/>
        </w:rPr>
        <w:t>RMC may authorise the contract under any already agreed delegated authority or where appropriate make recommendations to the Board for full approval</w:t>
      </w:r>
      <w:r w:rsidR="00943621">
        <w:rPr>
          <w:rFonts w:ascii="Trebuchet MS" w:hAnsi="Trebuchet MS"/>
          <w:bCs/>
          <w:lang w:val="en-US"/>
        </w:rPr>
        <w:t>. I</w:t>
      </w:r>
      <w:proofErr w:type="spellStart"/>
      <w:r w:rsidRPr="005E0860">
        <w:rPr>
          <w:rFonts w:ascii="Trebuchet MS" w:hAnsi="Trebuchet MS"/>
          <w:bCs/>
        </w:rPr>
        <w:t>f</w:t>
      </w:r>
      <w:proofErr w:type="spellEnd"/>
      <w:r w:rsidRPr="005E0860">
        <w:rPr>
          <w:rFonts w:ascii="Trebuchet MS" w:hAnsi="Trebuchet MS"/>
          <w:bCs/>
        </w:rPr>
        <w:t xml:space="preserve"> the </w:t>
      </w:r>
      <w:r w:rsidR="00E0116B">
        <w:rPr>
          <w:rFonts w:ascii="Trebuchet MS" w:hAnsi="Trebuchet MS"/>
          <w:bCs/>
        </w:rPr>
        <w:t>A</w:t>
      </w:r>
      <w:r w:rsidRPr="005E0860">
        <w:rPr>
          <w:rFonts w:ascii="Trebuchet MS" w:hAnsi="Trebuchet MS"/>
          <w:bCs/>
        </w:rPr>
        <w:t xml:space="preserve">RMC consider the risk to be appropriate may authorise the </w:t>
      </w:r>
      <w:r w:rsidR="00E61E6B">
        <w:rPr>
          <w:rFonts w:ascii="Trebuchet MS" w:hAnsi="Trebuchet MS"/>
          <w:bCs/>
        </w:rPr>
        <w:t>Secretary General</w:t>
      </w:r>
      <w:r w:rsidRPr="005E0860">
        <w:rPr>
          <w:rFonts w:ascii="Trebuchet MS" w:hAnsi="Trebuchet MS"/>
          <w:bCs/>
        </w:rPr>
        <w:t xml:space="preserve"> or President to sign the contract</w:t>
      </w:r>
      <w:r w:rsidR="00943621">
        <w:rPr>
          <w:rFonts w:ascii="Trebuchet MS" w:hAnsi="Trebuchet MS"/>
          <w:bCs/>
        </w:rPr>
        <w:t xml:space="preserve"> under the principles of this policy</w:t>
      </w:r>
      <w:r w:rsidRPr="005E0860">
        <w:rPr>
          <w:rFonts w:ascii="Trebuchet MS" w:hAnsi="Trebuchet MS"/>
          <w:bCs/>
        </w:rPr>
        <w:t>.</w:t>
      </w:r>
    </w:p>
    <w:p w14:paraId="7F19402B" w14:textId="77777777" w:rsidR="00E2077C" w:rsidRDefault="00E2077C" w:rsidP="00756B42">
      <w:pPr>
        <w:rPr>
          <w:rFonts w:ascii="Trebuchet MS" w:hAnsi="Trebuchet MS"/>
          <w:b/>
        </w:rPr>
      </w:pPr>
    </w:p>
    <w:p w14:paraId="6277A397" w14:textId="77777777" w:rsidR="005E0860" w:rsidRDefault="005E0860" w:rsidP="005E0860">
      <w:pPr>
        <w:rPr>
          <w:rFonts w:ascii="Trebuchet MS" w:hAnsi="Trebuchet MS"/>
          <w:b/>
        </w:rPr>
      </w:pPr>
    </w:p>
    <w:p w14:paraId="713F3F4C" w14:textId="289F2D01" w:rsidR="003E14F2" w:rsidRDefault="00DD6E21">
      <w:pPr>
        <w:rPr>
          <w:rFonts w:ascii="Trebuchet MS" w:hAnsi="Trebuchet MS"/>
          <w:b/>
          <w:bCs/>
        </w:rPr>
      </w:pPr>
      <w:r>
        <w:rPr>
          <w:rFonts w:ascii="Trebuchet MS" w:hAnsi="Trebuchet MS"/>
        </w:rPr>
        <w:t>5.</w:t>
      </w:r>
      <w:r w:rsidRPr="00DD6E21">
        <w:rPr>
          <w:rFonts w:ascii="Trebuchet MS" w:hAnsi="Trebuchet MS"/>
          <w:b/>
          <w:bCs/>
        </w:rPr>
        <w:t>All Authorisations</w:t>
      </w:r>
    </w:p>
    <w:p w14:paraId="7D8E396E" w14:textId="543E2865" w:rsidR="00DD6E21" w:rsidRDefault="00DD6E21">
      <w:pPr>
        <w:rPr>
          <w:rFonts w:ascii="Trebuchet MS" w:hAnsi="Trebuchet MS"/>
          <w:b/>
          <w:bCs/>
        </w:rPr>
      </w:pPr>
    </w:p>
    <w:p w14:paraId="6FA09935" w14:textId="0D678F02" w:rsidR="00DD6E21" w:rsidRPr="00DD6E21" w:rsidRDefault="00DD6E21" w:rsidP="00DD6E21">
      <w:pPr>
        <w:ind w:left="709"/>
        <w:rPr>
          <w:rFonts w:ascii="Trebuchet MS" w:hAnsi="Trebuchet MS"/>
        </w:rPr>
      </w:pPr>
      <w:r>
        <w:rPr>
          <w:rFonts w:ascii="Trebuchet MS" w:hAnsi="Trebuchet MS"/>
          <w:b/>
          <w:bCs/>
        </w:rPr>
        <w:tab/>
      </w:r>
      <w:r>
        <w:rPr>
          <w:rFonts w:ascii="Trebuchet MS" w:hAnsi="Trebuchet MS"/>
        </w:rPr>
        <w:t>All aut</w:t>
      </w:r>
      <w:r w:rsidR="001357AB">
        <w:rPr>
          <w:rFonts w:ascii="Trebuchet MS" w:hAnsi="Trebuchet MS"/>
        </w:rPr>
        <w:t>h</w:t>
      </w:r>
      <w:r>
        <w:rPr>
          <w:rFonts w:ascii="Trebuchet MS" w:hAnsi="Trebuchet MS"/>
        </w:rPr>
        <w:t>oris</w:t>
      </w:r>
      <w:r w:rsidR="006455D9">
        <w:rPr>
          <w:rFonts w:ascii="Trebuchet MS" w:hAnsi="Trebuchet MS"/>
        </w:rPr>
        <w:t>a</w:t>
      </w:r>
      <w:r>
        <w:rPr>
          <w:rFonts w:ascii="Trebuchet MS" w:hAnsi="Trebuchet MS"/>
        </w:rPr>
        <w:t xml:space="preserve">tions of any contracts covered by this policy must be in writing and filed in the central contacts folder. </w:t>
      </w:r>
    </w:p>
    <w:sectPr w:rsidR="00DD6E21" w:rsidRPr="00DD6E21" w:rsidSect="005C0A5A">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43A6D" w14:textId="77777777" w:rsidR="00956E15" w:rsidRDefault="00956E15" w:rsidP="00080F15">
      <w:r>
        <w:separator/>
      </w:r>
    </w:p>
  </w:endnote>
  <w:endnote w:type="continuationSeparator" w:id="0">
    <w:p w14:paraId="504E48F2" w14:textId="77777777" w:rsidR="00956E15" w:rsidRDefault="00956E15" w:rsidP="00080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94925" w14:textId="77777777" w:rsidR="00AF6080" w:rsidRDefault="00AF6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856A" w14:textId="2BFA4559" w:rsidR="00080F15" w:rsidRDefault="00080F15" w:rsidP="000D5F94">
    <w:pPr>
      <w:pStyle w:val="Footer"/>
    </w:pPr>
    <w:r w:rsidRPr="00080F15">
      <w:rPr>
        <w:b/>
        <w:bCs/>
        <w:lang w:val="en-IE"/>
      </w:rPr>
      <w:t>210</w:t>
    </w:r>
    <w:r w:rsidR="00AF6080">
      <w:rPr>
        <w:b/>
        <w:bCs/>
        <w:lang w:val="en-IE"/>
      </w:rPr>
      <w:t xml:space="preserve">309 </w:t>
    </w:r>
    <w:r w:rsidR="00B44C24">
      <w:rPr>
        <w:b/>
        <w:bCs/>
        <w:lang w:val="en-IE"/>
      </w:rPr>
      <w:t xml:space="preserve">IWRF Board </w:t>
    </w:r>
    <w:r w:rsidR="00AF6080">
      <w:rPr>
        <w:b/>
        <w:bCs/>
        <w:lang w:val="en-IE"/>
      </w:rPr>
      <w:t>Paper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779FE" w14:textId="77777777" w:rsidR="00AF6080" w:rsidRDefault="00AF6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8C9DF" w14:textId="77777777" w:rsidR="00956E15" w:rsidRDefault="00956E15" w:rsidP="00080F15">
      <w:r>
        <w:separator/>
      </w:r>
    </w:p>
  </w:footnote>
  <w:footnote w:type="continuationSeparator" w:id="0">
    <w:p w14:paraId="0F3C836C" w14:textId="77777777" w:rsidR="00956E15" w:rsidRDefault="00956E15" w:rsidP="00080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6651D" w14:textId="77777777" w:rsidR="00AF6080" w:rsidRDefault="00AF6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7CCFE" w14:textId="5C0540EA" w:rsidR="00080F15" w:rsidRDefault="00080F15" w:rsidP="00080F15">
    <w:pPr>
      <w:pStyle w:val="Header"/>
      <w:jc w:val="center"/>
    </w:pPr>
    <w:r>
      <w:rPr>
        <w:noProof/>
      </w:rPr>
      <w:drawing>
        <wp:inline distT="0" distB="0" distL="0" distR="0" wp14:anchorId="50983257" wp14:editId="79D00B91">
          <wp:extent cx="2271395" cy="703580"/>
          <wp:effectExtent l="0" t="0" r="0" b="127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395" cy="7035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50269" w14:textId="77777777" w:rsidR="00AF6080" w:rsidRDefault="00AF6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5035B"/>
    <w:multiLevelType w:val="hybridMultilevel"/>
    <w:tmpl w:val="E08A8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C33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2B7259"/>
    <w:multiLevelType w:val="multilevel"/>
    <w:tmpl w:val="C6F8928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9122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735C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4A1940"/>
    <w:multiLevelType w:val="hybridMultilevel"/>
    <w:tmpl w:val="B4DC0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508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544B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142D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F846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B71906"/>
    <w:multiLevelType w:val="hybridMultilevel"/>
    <w:tmpl w:val="3CB45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EF0839"/>
    <w:multiLevelType w:val="hybridMultilevel"/>
    <w:tmpl w:val="62A83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4E36E1"/>
    <w:multiLevelType w:val="multilevel"/>
    <w:tmpl w:val="0ED2FFD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2047C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9B8101B"/>
    <w:multiLevelType w:val="multilevel"/>
    <w:tmpl w:val="02FCF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0C65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4"/>
  </w:num>
  <w:num w:numId="3">
    <w:abstractNumId w:val="5"/>
  </w:num>
  <w:num w:numId="4">
    <w:abstractNumId w:val="10"/>
  </w:num>
  <w:num w:numId="5">
    <w:abstractNumId w:val="0"/>
  </w:num>
  <w:num w:numId="6">
    <w:abstractNumId w:val="3"/>
  </w:num>
  <w:num w:numId="7">
    <w:abstractNumId w:val="15"/>
  </w:num>
  <w:num w:numId="8">
    <w:abstractNumId w:val="6"/>
  </w:num>
  <w:num w:numId="9">
    <w:abstractNumId w:val="2"/>
  </w:num>
  <w:num w:numId="10">
    <w:abstractNumId w:val="1"/>
  </w:num>
  <w:num w:numId="11">
    <w:abstractNumId w:val="9"/>
  </w:num>
  <w:num w:numId="12">
    <w:abstractNumId w:val="12"/>
  </w:num>
  <w:num w:numId="13">
    <w:abstractNumId w:val="7"/>
  </w:num>
  <w:num w:numId="14">
    <w:abstractNumId w:val="8"/>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523"/>
    <w:rsid w:val="00005E06"/>
    <w:rsid w:val="00080F15"/>
    <w:rsid w:val="000A2ED4"/>
    <w:rsid w:val="000D5F94"/>
    <w:rsid w:val="001269AF"/>
    <w:rsid w:val="001357AB"/>
    <w:rsid w:val="001923E3"/>
    <w:rsid w:val="001B4126"/>
    <w:rsid w:val="001C635C"/>
    <w:rsid w:val="001D7DCF"/>
    <w:rsid w:val="00235481"/>
    <w:rsid w:val="00271F30"/>
    <w:rsid w:val="002B06DE"/>
    <w:rsid w:val="002C6B1A"/>
    <w:rsid w:val="00315C79"/>
    <w:rsid w:val="00325B8E"/>
    <w:rsid w:val="00340B38"/>
    <w:rsid w:val="003953CC"/>
    <w:rsid w:val="003D6D9C"/>
    <w:rsid w:val="003E14F2"/>
    <w:rsid w:val="0040417D"/>
    <w:rsid w:val="004056E7"/>
    <w:rsid w:val="00437AEA"/>
    <w:rsid w:val="004569E1"/>
    <w:rsid w:val="00475B6D"/>
    <w:rsid w:val="004A22C6"/>
    <w:rsid w:val="004B341C"/>
    <w:rsid w:val="00536F6C"/>
    <w:rsid w:val="00554851"/>
    <w:rsid w:val="005A5F72"/>
    <w:rsid w:val="005C0A5A"/>
    <w:rsid w:val="005E0860"/>
    <w:rsid w:val="0060011F"/>
    <w:rsid w:val="006455D9"/>
    <w:rsid w:val="00693C31"/>
    <w:rsid w:val="006C62F9"/>
    <w:rsid w:val="006D70A3"/>
    <w:rsid w:val="006E2376"/>
    <w:rsid w:val="006E2754"/>
    <w:rsid w:val="006E6E86"/>
    <w:rsid w:val="006F4A31"/>
    <w:rsid w:val="00702831"/>
    <w:rsid w:val="00756B42"/>
    <w:rsid w:val="007E0E00"/>
    <w:rsid w:val="008C0A1F"/>
    <w:rsid w:val="009119B9"/>
    <w:rsid w:val="00943621"/>
    <w:rsid w:val="00956E15"/>
    <w:rsid w:val="009D6467"/>
    <w:rsid w:val="009D69EC"/>
    <w:rsid w:val="00A856A2"/>
    <w:rsid w:val="00A92D57"/>
    <w:rsid w:val="00AC7D45"/>
    <w:rsid w:val="00AF6080"/>
    <w:rsid w:val="00B05B58"/>
    <w:rsid w:val="00B44C24"/>
    <w:rsid w:val="00BA2523"/>
    <w:rsid w:val="00BF0536"/>
    <w:rsid w:val="00BF0620"/>
    <w:rsid w:val="00C12B18"/>
    <w:rsid w:val="00C76DC9"/>
    <w:rsid w:val="00C912EF"/>
    <w:rsid w:val="00D37C43"/>
    <w:rsid w:val="00D53D51"/>
    <w:rsid w:val="00DD6E21"/>
    <w:rsid w:val="00DE21C3"/>
    <w:rsid w:val="00DF0666"/>
    <w:rsid w:val="00E0116B"/>
    <w:rsid w:val="00E204D7"/>
    <w:rsid w:val="00E2077C"/>
    <w:rsid w:val="00E33161"/>
    <w:rsid w:val="00E61E6B"/>
    <w:rsid w:val="00EA4B31"/>
    <w:rsid w:val="00EC0169"/>
    <w:rsid w:val="00F405B6"/>
    <w:rsid w:val="00F460D4"/>
    <w:rsid w:val="00FC1462"/>
    <w:rsid w:val="00FC4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556DF"/>
  <w15:chartTrackingRefBased/>
  <w15:docId w15:val="{4869ECD3-99FA-2940-8949-C52A9C9B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4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B1A"/>
    <w:pPr>
      <w:ind w:left="720"/>
      <w:contextualSpacing/>
    </w:pPr>
  </w:style>
  <w:style w:type="character" w:styleId="CommentReference">
    <w:name w:val="annotation reference"/>
    <w:basedOn w:val="DefaultParagraphFont"/>
    <w:uiPriority w:val="99"/>
    <w:semiHidden/>
    <w:unhideWhenUsed/>
    <w:rsid w:val="003D6D9C"/>
    <w:rPr>
      <w:sz w:val="16"/>
      <w:szCs w:val="16"/>
    </w:rPr>
  </w:style>
  <w:style w:type="paragraph" w:styleId="CommentText">
    <w:name w:val="annotation text"/>
    <w:basedOn w:val="Normal"/>
    <w:link w:val="CommentTextChar"/>
    <w:uiPriority w:val="99"/>
    <w:semiHidden/>
    <w:unhideWhenUsed/>
    <w:rsid w:val="003D6D9C"/>
    <w:rPr>
      <w:sz w:val="20"/>
      <w:szCs w:val="20"/>
    </w:rPr>
  </w:style>
  <w:style w:type="character" w:customStyle="1" w:styleId="CommentTextChar">
    <w:name w:val="Comment Text Char"/>
    <w:basedOn w:val="DefaultParagraphFont"/>
    <w:link w:val="CommentText"/>
    <w:uiPriority w:val="99"/>
    <w:semiHidden/>
    <w:rsid w:val="003D6D9C"/>
    <w:rPr>
      <w:sz w:val="20"/>
      <w:szCs w:val="20"/>
    </w:rPr>
  </w:style>
  <w:style w:type="paragraph" w:styleId="CommentSubject">
    <w:name w:val="annotation subject"/>
    <w:basedOn w:val="CommentText"/>
    <w:next w:val="CommentText"/>
    <w:link w:val="CommentSubjectChar"/>
    <w:uiPriority w:val="99"/>
    <w:semiHidden/>
    <w:unhideWhenUsed/>
    <w:rsid w:val="003D6D9C"/>
    <w:rPr>
      <w:b/>
      <w:bCs/>
    </w:rPr>
  </w:style>
  <w:style w:type="character" w:customStyle="1" w:styleId="CommentSubjectChar">
    <w:name w:val="Comment Subject Char"/>
    <w:basedOn w:val="CommentTextChar"/>
    <w:link w:val="CommentSubject"/>
    <w:uiPriority w:val="99"/>
    <w:semiHidden/>
    <w:rsid w:val="003D6D9C"/>
    <w:rPr>
      <w:b/>
      <w:bCs/>
      <w:sz w:val="20"/>
      <w:szCs w:val="20"/>
    </w:rPr>
  </w:style>
  <w:style w:type="paragraph" w:styleId="BalloonText">
    <w:name w:val="Balloon Text"/>
    <w:basedOn w:val="Normal"/>
    <w:link w:val="BalloonTextChar"/>
    <w:uiPriority w:val="99"/>
    <w:semiHidden/>
    <w:unhideWhenUsed/>
    <w:rsid w:val="003D6D9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6D9C"/>
    <w:rPr>
      <w:rFonts w:ascii="Times New Roman" w:hAnsi="Times New Roman" w:cs="Times New Roman"/>
      <w:sz w:val="18"/>
      <w:szCs w:val="18"/>
    </w:rPr>
  </w:style>
  <w:style w:type="paragraph" w:styleId="Header">
    <w:name w:val="header"/>
    <w:basedOn w:val="Normal"/>
    <w:link w:val="HeaderChar"/>
    <w:uiPriority w:val="99"/>
    <w:unhideWhenUsed/>
    <w:rsid w:val="00080F15"/>
    <w:pPr>
      <w:tabs>
        <w:tab w:val="center" w:pos="4513"/>
        <w:tab w:val="right" w:pos="9026"/>
      </w:tabs>
    </w:pPr>
  </w:style>
  <w:style w:type="character" w:customStyle="1" w:styleId="HeaderChar">
    <w:name w:val="Header Char"/>
    <w:basedOn w:val="DefaultParagraphFont"/>
    <w:link w:val="Header"/>
    <w:uiPriority w:val="99"/>
    <w:rsid w:val="00080F15"/>
  </w:style>
  <w:style w:type="paragraph" w:styleId="Footer">
    <w:name w:val="footer"/>
    <w:basedOn w:val="Normal"/>
    <w:link w:val="FooterChar"/>
    <w:uiPriority w:val="99"/>
    <w:unhideWhenUsed/>
    <w:rsid w:val="00080F15"/>
    <w:pPr>
      <w:tabs>
        <w:tab w:val="center" w:pos="4513"/>
        <w:tab w:val="right" w:pos="9026"/>
      </w:tabs>
    </w:pPr>
  </w:style>
  <w:style w:type="character" w:customStyle="1" w:styleId="FooterChar">
    <w:name w:val="Footer Char"/>
    <w:basedOn w:val="DefaultParagraphFont"/>
    <w:link w:val="Footer"/>
    <w:uiPriority w:val="99"/>
    <w:rsid w:val="00080F15"/>
  </w:style>
  <w:style w:type="table" w:styleId="TableGrid">
    <w:name w:val="Table Grid"/>
    <w:basedOn w:val="TableNormal"/>
    <w:uiPriority w:val="39"/>
    <w:rsid w:val="00E2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415370">
      <w:bodyDiv w:val="1"/>
      <w:marLeft w:val="0"/>
      <w:marRight w:val="0"/>
      <w:marTop w:val="0"/>
      <w:marBottom w:val="0"/>
      <w:divBdr>
        <w:top w:val="none" w:sz="0" w:space="0" w:color="auto"/>
        <w:left w:val="none" w:sz="0" w:space="0" w:color="auto"/>
        <w:bottom w:val="none" w:sz="0" w:space="0" w:color="auto"/>
        <w:right w:val="none" w:sz="0" w:space="0" w:color="auto"/>
      </w:divBdr>
      <w:divsChild>
        <w:div w:id="1691948821">
          <w:marLeft w:val="0"/>
          <w:marRight w:val="0"/>
          <w:marTop w:val="0"/>
          <w:marBottom w:val="0"/>
          <w:divBdr>
            <w:top w:val="none" w:sz="0" w:space="0" w:color="auto"/>
            <w:left w:val="none" w:sz="0" w:space="0" w:color="auto"/>
            <w:bottom w:val="none" w:sz="0" w:space="0" w:color="auto"/>
            <w:right w:val="none" w:sz="0" w:space="0" w:color="auto"/>
          </w:divBdr>
          <w:divsChild>
            <w:div w:id="263002200">
              <w:marLeft w:val="0"/>
              <w:marRight w:val="0"/>
              <w:marTop w:val="0"/>
              <w:marBottom w:val="0"/>
              <w:divBdr>
                <w:top w:val="none" w:sz="0" w:space="0" w:color="auto"/>
                <w:left w:val="none" w:sz="0" w:space="0" w:color="auto"/>
                <w:bottom w:val="none" w:sz="0" w:space="0" w:color="auto"/>
                <w:right w:val="none" w:sz="0" w:space="0" w:color="auto"/>
              </w:divBdr>
              <w:divsChild>
                <w:div w:id="86424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560085">
      <w:bodyDiv w:val="1"/>
      <w:marLeft w:val="0"/>
      <w:marRight w:val="0"/>
      <w:marTop w:val="0"/>
      <w:marBottom w:val="0"/>
      <w:divBdr>
        <w:top w:val="none" w:sz="0" w:space="0" w:color="auto"/>
        <w:left w:val="none" w:sz="0" w:space="0" w:color="auto"/>
        <w:bottom w:val="none" w:sz="0" w:space="0" w:color="auto"/>
        <w:right w:val="none" w:sz="0" w:space="0" w:color="auto"/>
      </w:divBdr>
      <w:divsChild>
        <w:div w:id="700861353">
          <w:marLeft w:val="0"/>
          <w:marRight w:val="0"/>
          <w:marTop w:val="0"/>
          <w:marBottom w:val="0"/>
          <w:divBdr>
            <w:top w:val="none" w:sz="0" w:space="0" w:color="auto"/>
            <w:left w:val="none" w:sz="0" w:space="0" w:color="auto"/>
            <w:bottom w:val="none" w:sz="0" w:space="0" w:color="auto"/>
            <w:right w:val="none" w:sz="0" w:space="0" w:color="auto"/>
          </w:divBdr>
          <w:divsChild>
            <w:div w:id="536739968">
              <w:marLeft w:val="0"/>
              <w:marRight w:val="0"/>
              <w:marTop w:val="0"/>
              <w:marBottom w:val="0"/>
              <w:divBdr>
                <w:top w:val="none" w:sz="0" w:space="0" w:color="auto"/>
                <w:left w:val="none" w:sz="0" w:space="0" w:color="auto"/>
                <w:bottom w:val="none" w:sz="0" w:space="0" w:color="auto"/>
                <w:right w:val="none" w:sz="0" w:space="0" w:color="auto"/>
              </w:divBdr>
              <w:divsChild>
                <w:div w:id="1409422063">
                  <w:marLeft w:val="0"/>
                  <w:marRight w:val="0"/>
                  <w:marTop w:val="0"/>
                  <w:marBottom w:val="0"/>
                  <w:divBdr>
                    <w:top w:val="none" w:sz="0" w:space="0" w:color="auto"/>
                    <w:left w:val="none" w:sz="0" w:space="0" w:color="auto"/>
                    <w:bottom w:val="none" w:sz="0" w:space="0" w:color="auto"/>
                    <w:right w:val="none" w:sz="0" w:space="0" w:color="auto"/>
                  </w:divBdr>
                </w:div>
                <w:div w:id="1580402969">
                  <w:marLeft w:val="0"/>
                  <w:marRight w:val="0"/>
                  <w:marTop w:val="0"/>
                  <w:marBottom w:val="0"/>
                  <w:divBdr>
                    <w:top w:val="none" w:sz="0" w:space="0" w:color="auto"/>
                    <w:left w:val="none" w:sz="0" w:space="0" w:color="auto"/>
                    <w:bottom w:val="none" w:sz="0" w:space="0" w:color="auto"/>
                    <w:right w:val="none" w:sz="0" w:space="0" w:color="auto"/>
                  </w:divBdr>
                </w:div>
              </w:divsChild>
            </w:div>
            <w:div w:id="118912196">
              <w:marLeft w:val="0"/>
              <w:marRight w:val="0"/>
              <w:marTop w:val="0"/>
              <w:marBottom w:val="0"/>
              <w:divBdr>
                <w:top w:val="none" w:sz="0" w:space="0" w:color="auto"/>
                <w:left w:val="none" w:sz="0" w:space="0" w:color="auto"/>
                <w:bottom w:val="none" w:sz="0" w:space="0" w:color="auto"/>
                <w:right w:val="none" w:sz="0" w:space="0" w:color="auto"/>
              </w:divBdr>
              <w:divsChild>
                <w:div w:id="961158437">
                  <w:marLeft w:val="0"/>
                  <w:marRight w:val="0"/>
                  <w:marTop w:val="0"/>
                  <w:marBottom w:val="0"/>
                  <w:divBdr>
                    <w:top w:val="none" w:sz="0" w:space="0" w:color="auto"/>
                    <w:left w:val="none" w:sz="0" w:space="0" w:color="auto"/>
                    <w:bottom w:val="none" w:sz="0" w:space="0" w:color="auto"/>
                    <w:right w:val="none" w:sz="0" w:space="0" w:color="auto"/>
                  </w:divBdr>
                </w:div>
                <w:div w:id="630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80305">
      <w:bodyDiv w:val="1"/>
      <w:marLeft w:val="0"/>
      <w:marRight w:val="0"/>
      <w:marTop w:val="0"/>
      <w:marBottom w:val="0"/>
      <w:divBdr>
        <w:top w:val="none" w:sz="0" w:space="0" w:color="auto"/>
        <w:left w:val="none" w:sz="0" w:space="0" w:color="auto"/>
        <w:bottom w:val="none" w:sz="0" w:space="0" w:color="auto"/>
        <w:right w:val="none" w:sz="0" w:space="0" w:color="auto"/>
      </w:divBdr>
      <w:divsChild>
        <w:div w:id="486675898">
          <w:marLeft w:val="0"/>
          <w:marRight w:val="0"/>
          <w:marTop w:val="0"/>
          <w:marBottom w:val="0"/>
          <w:divBdr>
            <w:top w:val="none" w:sz="0" w:space="0" w:color="auto"/>
            <w:left w:val="none" w:sz="0" w:space="0" w:color="auto"/>
            <w:bottom w:val="none" w:sz="0" w:space="0" w:color="auto"/>
            <w:right w:val="none" w:sz="0" w:space="0" w:color="auto"/>
          </w:divBdr>
          <w:divsChild>
            <w:div w:id="691616940">
              <w:marLeft w:val="0"/>
              <w:marRight w:val="0"/>
              <w:marTop w:val="0"/>
              <w:marBottom w:val="0"/>
              <w:divBdr>
                <w:top w:val="none" w:sz="0" w:space="0" w:color="auto"/>
                <w:left w:val="none" w:sz="0" w:space="0" w:color="auto"/>
                <w:bottom w:val="none" w:sz="0" w:space="0" w:color="auto"/>
                <w:right w:val="none" w:sz="0" w:space="0" w:color="auto"/>
              </w:divBdr>
              <w:divsChild>
                <w:div w:id="19565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426616">
      <w:bodyDiv w:val="1"/>
      <w:marLeft w:val="0"/>
      <w:marRight w:val="0"/>
      <w:marTop w:val="0"/>
      <w:marBottom w:val="0"/>
      <w:divBdr>
        <w:top w:val="none" w:sz="0" w:space="0" w:color="auto"/>
        <w:left w:val="none" w:sz="0" w:space="0" w:color="auto"/>
        <w:bottom w:val="none" w:sz="0" w:space="0" w:color="auto"/>
        <w:right w:val="none" w:sz="0" w:space="0" w:color="auto"/>
      </w:divBdr>
      <w:divsChild>
        <w:div w:id="543640993">
          <w:marLeft w:val="0"/>
          <w:marRight w:val="0"/>
          <w:marTop w:val="0"/>
          <w:marBottom w:val="0"/>
          <w:divBdr>
            <w:top w:val="none" w:sz="0" w:space="0" w:color="auto"/>
            <w:left w:val="none" w:sz="0" w:space="0" w:color="auto"/>
            <w:bottom w:val="none" w:sz="0" w:space="0" w:color="auto"/>
            <w:right w:val="none" w:sz="0" w:space="0" w:color="auto"/>
          </w:divBdr>
          <w:divsChild>
            <w:div w:id="746725649">
              <w:marLeft w:val="0"/>
              <w:marRight w:val="0"/>
              <w:marTop w:val="0"/>
              <w:marBottom w:val="0"/>
              <w:divBdr>
                <w:top w:val="none" w:sz="0" w:space="0" w:color="auto"/>
                <w:left w:val="none" w:sz="0" w:space="0" w:color="auto"/>
                <w:bottom w:val="none" w:sz="0" w:space="0" w:color="auto"/>
                <w:right w:val="none" w:sz="0" w:space="0" w:color="auto"/>
              </w:divBdr>
              <w:divsChild>
                <w:div w:id="90414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6A44B-E592-284B-B2E5-8170602E1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Allcroft</dc:creator>
  <cp:keywords/>
  <dc:description/>
  <cp:lastModifiedBy>Steve Griffiths</cp:lastModifiedBy>
  <cp:revision>2</cp:revision>
  <cp:lastPrinted>2021-02-15T12:10:00Z</cp:lastPrinted>
  <dcterms:created xsi:type="dcterms:W3CDTF">2021-03-11T10:50:00Z</dcterms:created>
  <dcterms:modified xsi:type="dcterms:W3CDTF">2021-03-11T10:50:00Z</dcterms:modified>
</cp:coreProperties>
</file>